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130566" w14:textId="77777777" w:rsidR="008D749D" w:rsidRDefault="002D31E5">
      <w:pPr>
        <w:spacing w:line="276" w:lineRule="auto"/>
        <w:jc w:val="center"/>
        <w:rPr>
          <w:rFonts w:ascii="Arial" w:eastAsia="Arial" w:hAnsi="Arial" w:cs="Arial"/>
          <w:b/>
          <w:color w:val="0B5394"/>
          <w:sz w:val="44"/>
          <w:szCs w:val="44"/>
        </w:rPr>
      </w:pPr>
      <w:r>
        <w:rPr>
          <w:rFonts w:ascii="Arial" w:eastAsia="Arial" w:hAnsi="Arial" w:cs="Arial"/>
          <w:b/>
          <w:color w:val="0B5394"/>
          <w:sz w:val="44"/>
          <w:szCs w:val="44"/>
        </w:rPr>
        <w:t xml:space="preserve">Dirección General </w:t>
      </w:r>
    </w:p>
    <w:p w14:paraId="1CC2F133" w14:textId="77777777" w:rsidR="008D749D" w:rsidRDefault="002D31E5">
      <w:pPr>
        <w:spacing w:line="276" w:lineRule="auto"/>
        <w:jc w:val="center"/>
        <w:rPr>
          <w:rFonts w:ascii="Arial" w:eastAsia="Arial" w:hAnsi="Arial" w:cs="Arial"/>
          <w:b/>
          <w:color w:val="0B5394"/>
          <w:sz w:val="44"/>
          <w:szCs w:val="44"/>
        </w:rPr>
      </w:pPr>
      <w:r>
        <w:rPr>
          <w:rFonts w:ascii="Arial" w:eastAsia="Arial" w:hAnsi="Arial" w:cs="Arial"/>
          <w:b/>
          <w:color w:val="0B5394"/>
          <w:sz w:val="44"/>
          <w:szCs w:val="44"/>
        </w:rPr>
        <w:t>de Educación Secundaria de la</w:t>
      </w:r>
    </w:p>
    <w:p w14:paraId="7DABEE84" w14:textId="77777777" w:rsidR="008D749D" w:rsidRDefault="002D31E5">
      <w:pPr>
        <w:spacing w:line="276" w:lineRule="auto"/>
        <w:jc w:val="center"/>
        <w:rPr>
          <w:rFonts w:ascii="Arial" w:eastAsia="Arial" w:hAnsi="Arial" w:cs="Arial"/>
          <w:b/>
          <w:color w:val="0B5394"/>
          <w:sz w:val="44"/>
          <w:szCs w:val="44"/>
        </w:rPr>
      </w:pPr>
      <w:r>
        <w:rPr>
          <w:rFonts w:ascii="Arial" w:eastAsia="Arial" w:hAnsi="Arial" w:cs="Arial"/>
          <w:b/>
          <w:color w:val="0B5394"/>
          <w:sz w:val="44"/>
          <w:szCs w:val="44"/>
        </w:rPr>
        <w:t>Universidad Nacional de Cuyo</w:t>
      </w:r>
    </w:p>
    <w:p w14:paraId="47EA389C" w14:textId="77777777" w:rsidR="008D749D" w:rsidRDefault="002D31E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B5394"/>
          <w:sz w:val="48"/>
          <w:szCs w:val="48"/>
        </w:rPr>
        <w:t>_________________________________</w:t>
      </w:r>
    </w:p>
    <w:p w14:paraId="7F8A9FD8" w14:textId="77777777" w:rsidR="008D749D" w:rsidRDefault="002D31E5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COMUNICADO</w:t>
      </w:r>
    </w:p>
    <w:p w14:paraId="0423263F" w14:textId="77777777" w:rsidR="008D749D" w:rsidRDefault="002D31E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RÉGIMEN DE EVALUACIÓN, ACREDITACIÓN </w:t>
      </w:r>
    </w:p>
    <w:p w14:paraId="537EED44" w14:textId="77777777" w:rsidR="008D749D" w:rsidRDefault="002D31E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 PROMOCIÓN PARA EL CICLO 2020</w:t>
      </w:r>
    </w:p>
    <w:p w14:paraId="47613440" w14:textId="77777777" w:rsidR="008D749D" w:rsidRDefault="008D749D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71E6053" w14:textId="77777777" w:rsidR="008D749D" w:rsidRDefault="002D31E5">
      <w:pPr>
        <w:spacing w:after="20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La Dirección General de Educación Secundaria, dependiente de la Secretaría Académica de la Universidad Nacional de Cuyo informa a la Comunidad Educativa: </w:t>
      </w:r>
    </w:p>
    <w:p w14:paraId="636251A0" w14:textId="77777777" w:rsidR="008D749D" w:rsidRDefault="002D31E5">
      <w:pPr>
        <w:spacing w:after="20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el contexto de la suspensión de clases presenciales provocada por la Pandemia de COVID 19, esta Dirección y los establecimientos dependientes de ella han reforzado el compromiso de garantizar a todos los estudiantes la continuidad de los procesos de enseñanza y aprendizaje, la inclusión en los mecanismos de educación no presencial de calidad y la protección integral de sus derechos. </w:t>
      </w:r>
    </w:p>
    <w:p w14:paraId="4DE26288" w14:textId="77777777" w:rsidR="008D749D" w:rsidRDefault="002D31E5">
      <w:pPr>
        <w:spacing w:after="20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ese marco, y en consenso con todos los actores institucionales, esta Dirección ha establecido los lineamientos para regular </w:t>
      </w:r>
      <w:r>
        <w:rPr>
          <w:rFonts w:ascii="Arial" w:eastAsia="Arial" w:hAnsi="Arial" w:cs="Arial"/>
          <w:b/>
          <w:sz w:val="22"/>
          <w:szCs w:val="22"/>
        </w:rPr>
        <w:t>los procesos de evaluación, acreditación y promoción para el ciclo 2020,</w:t>
      </w:r>
      <w:r>
        <w:rPr>
          <w:rFonts w:ascii="Arial" w:eastAsia="Arial" w:hAnsi="Arial" w:cs="Arial"/>
          <w:sz w:val="22"/>
          <w:szCs w:val="22"/>
        </w:rPr>
        <w:t xml:space="preserve"> que sintetizamos a continuación: </w:t>
      </w:r>
    </w:p>
    <w:p w14:paraId="00EADB78" w14:textId="11FBFC64" w:rsidR="008D749D" w:rsidRDefault="002D31E5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1) ACOMPAÑAMIENTO</w:t>
      </w:r>
      <w:r>
        <w:rPr>
          <w:rFonts w:ascii="Arial" w:eastAsia="Arial" w:hAnsi="Arial" w:cs="Arial"/>
          <w:sz w:val="22"/>
          <w:szCs w:val="22"/>
        </w:rPr>
        <w:t>: A los efectos de dar una respuesta pertinente a la diversidad de situaciones que se dan en el ámbito de las escuelas secundarias de la UNCuyo, los establecimientos que pertenecen</w:t>
      </w:r>
      <w:r w:rsidR="006312A5"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 xml:space="preserve"> ella tiene</w:t>
      </w:r>
      <w:r w:rsidR="006312A5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el deber de garantizar un adecuado ACOMPAÑAMIENTO PEDAGÓGICO para todos sus estudiantes y, especialmente, para aquellos que, por distintos motivos, han presentado dificultades en el desarrollo de sus trayectorias escolares. </w:t>
      </w:r>
    </w:p>
    <w:p w14:paraId="4CF238D3" w14:textId="77777777" w:rsidR="008D749D" w:rsidRDefault="002D31E5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2) EVALUACIÓN:</w:t>
      </w:r>
      <w:r>
        <w:rPr>
          <w:rFonts w:ascii="Arial" w:eastAsia="Arial" w:hAnsi="Arial" w:cs="Arial"/>
          <w:sz w:val="22"/>
          <w:szCs w:val="22"/>
        </w:rPr>
        <w:t xml:space="preserve"> La evaluación seguirá siendo formativa, contextualizada, integral, flexible, procesual y centrada en la retroalimentación y las calificaciones que surjan de ella serán representativas de los saberes construidos efectivamente por los estudiantes. </w:t>
      </w:r>
    </w:p>
    <w:p w14:paraId="037AD345" w14:textId="77777777" w:rsidR="008D749D" w:rsidRDefault="002D31E5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3) ACREDITACIÓN:</w:t>
      </w:r>
      <w:r>
        <w:rPr>
          <w:rFonts w:ascii="Arial" w:eastAsia="Arial" w:hAnsi="Arial" w:cs="Arial"/>
          <w:sz w:val="22"/>
          <w:szCs w:val="22"/>
        </w:rPr>
        <w:t> </w:t>
      </w:r>
    </w:p>
    <w:p w14:paraId="1A07AA20" w14:textId="77777777" w:rsidR="008D749D" w:rsidRDefault="002D31E5">
      <w:pPr>
        <w:spacing w:after="20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Acreditación cuatrimestral: </w:t>
      </w:r>
      <w:r>
        <w:rPr>
          <w:rFonts w:ascii="Arial" w:eastAsia="Arial" w:hAnsi="Arial" w:cs="Arial"/>
          <w:sz w:val="22"/>
          <w:szCs w:val="22"/>
        </w:rPr>
        <w:t xml:space="preserve">La acreditación cuatrimestral de saberes o valoración parcial integradora (VPI) de los cuatrimestres surgirá del promedio resultante de la suma de todas las calificaciones de proceso. Si el resultado de dicho promedio es igual o superior a 7 (siete), se considerarán acreditados los aprendizajes correspondientes al cuatrimestre. Por el contrario, si el promedio resultante fuera menor a 7 (siete), se considerará que el estudiante continúa en “proceso de acreditación de saberes”, no se cerrará su nota y se fortalecerán las estrategias de acompañamiento a los efectos de lograr los aprendizajes. </w:t>
      </w:r>
    </w:p>
    <w:p w14:paraId="33165FF9" w14:textId="77777777" w:rsidR="008D749D" w:rsidRDefault="002D31E5">
      <w:pPr>
        <w:spacing w:after="20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b) Acreditación Final:</w:t>
      </w:r>
      <w:r>
        <w:rPr>
          <w:rFonts w:ascii="Arial" w:eastAsia="Arial" w:hAnsi="Arial" w:cs="Arial"/>
          <w:sz w:val="22"/>
          <w:szCs w:val="22"/>
        </w:rPr>
        <w:t xml:space="preserve"> La acreditación definitiva de los aprendizajes de los espacios curriculares correspondientes al ciclo 2020 se obtendrá cuando el promedio resultante de las VPI correspondientes al primer y al segundo cuatrimestre sea iguales o superiores a 7 (siete). </w:t>
      </w:r>
    </w:p>
    <w:p w14:paraId="7C6C9ED5" w14:textId="77777777" w:rsidR="008D749D" w:rsidRDefault="002D31E5">
      <w:pPr>
        <w:spacing w:after="200" w:line="276" w:lineRule="auto"/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c) Plazos para la Acreditación: </w:t>
      </w:r>
      <w:r>
        <w:rPr>
          <w:rFonts w:ascii="Arial" w:eastAsia="Arial" w:hAnsi="Arial" w:cs="Arial"/>
          <w:sz w:val="22"/>
          <w:szCs w:val="22"/>
        </w:rPr>
        <w:t xml:space="preserve">La acreditación final de saberes se realizará durante el período </w:t>
      </w:r>
      <w:r>
        <w:rPr>
          <w:rFonts w:ascii="Arial" w:eastAsia="Arial" w:hAnsi="Arial" w:cs="Arial"/>
          <w:b/>
          <w:sz w:val="22"/>
          <w:szCs w:val="22"/>
        </w:rPr>
        <w:t xml:space="preserve">noviembre/diciembre de 2020. </w:t>
      </w:r>
    </w:p>
    <w:p w14:paraId="6E16473D" w14:textId="77777777" w:rsidR="008D749D" w:rsidRDefault="002D31E5">
      <w:pPr>
        <w:spacing w:after="20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en ese plazo, el estudiante no lograra la acreditación de los saberes prioritarios de uno o más espacios curriculares, este quedará en “proceso de acreditación” y el estudiante deberá participar del período de apoyo pedagógico que se realizará durante los meses de febrero y marzo de 2021 y tendrá una nueva oportunidad de acreditación durante el período de marzo/abril del mismo año.</w:t>
      </w:r>
    </w:p>
    <w:p w14:paraId="67B7E4B8" w14:textId="44611A59" w:rsidR="008D749D" w:rsidRDefault="002D31E5">
      <w:pPr>
        <w:spacing w:after="20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durante el período Marzo - </w:t>
      </w:r>
      <w:proofErr w:type="gramStart"/>
      <w:r>
        <w:rPr>
          <w:rFonts w:ascii="Arial" w:eastAsia="Arial" w:hAnsi="Arial" w:cs="Arial"/>
          <w:sz w:val="22"/>
          <w:szCs w:val="22"/>
        </w:rPr>
        <w:t>Abril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2021, el estudiante no lograr</w:t>
      </w:r>
      <w:r w:rsidR="006312A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la acreditación de los saberes prioritarios correspondientes a uno o más espacios curriculares, continuará en proceso de apoyo pedagógico permanente durante el ciclo 2021 y tendrá nuevas oportunidades para acreditar esos saberes en los períodos de Diciembre de 2021 y Marzo de 2022. Si en esas fechas, no acreditar</w:t>
      </w:r>
      <w:r w:rsidR="0088245C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los saberes prioritarios, deberá rendir el espacio curricular en las mesas de exámenes del ciclo 2022. </w:t>
      </w:r>
    </w:p>
    <w:p w14:paraId="14CE66E6" w14:textId="77777777" w:rsidR="008D749D" w:rsidRDefault="002D31E5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4) PROMOCIÓN: </w:t>
      </w:r>
      <w:r>
        <w:rPr>
          <w:rFonts w:ascii="Arial" w:eastAsia="Arial" w:hAnsi="Arial" w:cs="Arial"/>
          <w:sz w:val="22"/>
          <w:szCs w:val="22"/>
        </w:rPr>
        <w:t>La promoción del estudiante al curso inmediato superior y la del tramo de educación secundaria se realizará de acuerdo a los siguientes criterios:</w:t>
      </w:r>
    </w:p>
    <w:p w14:paraId="4D4E494A" w14:textId="77777777" w:rsidR="008D749D" w:rsidRDefault="002D31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Promoción general: </w:t>
      </w:r>
      <w:r>
        <w:rPr>
          <w:rFonts w:ascii="Arial" w:eastAsia="Arial" w:hAnsi="Arial" w:cs="Arial"/>
          <w:sz w:val="22"/>
          <w:szCs w:val="22"/>
        </w:rPr>
        <w:t xml:space="preserve">Los estudiantes que a marzo de 2021 hayan acreditado los aprendizajes prioritarios correspondientes a todos los espacios curriculares del curso, obtendrán la promoción del correspondiente año del ciclo y/o la graduación según corresponda. También obtendrán la promoción al ciclo inmediato superior, quienes no hayan acreditado los saberes correspondientes de hasta uno de los espacios curriculares, como máximo. </w:t>
      </w:r>
    </w:p>
    <w:p w14:paraId="4F5E7D84" w14:textId="77777777" w:rsidR="008D749D" w:rsidRDefault="008D7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701FE6D" w14:textId="77777777" w:rsidR="008D749D" w:rsidRDefault="002D31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b) Promoción por Unidad Pedagógica:</w:t>
      </w:r>
      <w:r>
        <w:rPr>
          <w:rFonts w:ascii="Arial" w:eastAsia="Arial" w:hAnsi="Arial" w:cs="Arial"/>
          <w:sz w:val="22"/>
          <w:szCs w:val="22"/>
        </w:rPr>
        <w:t xml:space="preserve"> para aquellos estudiantes que no se encuentren en la situación descrita en el anterior punto a), se considerará que el ciclo 2020 y el ciclo 2021 constituyen una unidad pedagógica y curricular. Esto implica que los estudiantes que se encuentren en esta situación se encontrarán, durante 2021, cursando los espacios curriculares correspondientes a dicho ciclo y, al mismo, tiempo, deberán acreditar los aprendizajes que no hayan logrado durante el ciclo 2020. Para estos casos, la promoción se realizará al cierre del ciclo 2021 y si el estudiante hubiere acreditado los aprendizajes obligatorios correspondientes a ambos ciclos.</w:t>
      </w:r>
    </w:p>
    <w:p w14:paraId="228A94C2" w14:textId="77777777" w:rsidR="008D749D" w:rsidRDefault="008D7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979A560" w14:textId="77777777" w:rsidR="008D749D" w:rsidRDefault="002D31E5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5) EGRESO: </w:t>
      </w:r>
      <w:r>
        <w:rPr>
          <w:rFonts w:ascii="Arial" w:eastAsia="Arial" w:hAnsi="Arial" w:cs="Arial"/>
          <w:sz w:val="22"/>
          <w:szCs w:val="22"/>
        </w:rPr>
        <w:t xml:space="preserve">Las y los estudiantes que durante el año 2020 se encuentren matriculados en el último año de la educación secundaria de todas las orientaciones y modalidades, podrán obtener la acreditación de los aprendizajes correspondientes al ciclo 2020, en el período comprendido entre noviembre/diciembre 2020 y abril de 2021 y en esas fechas obtendrán la GRADUACIÓN de la educación secundaria. </w:t>
      </w:r>
    </w:p>
    <w:p w14:paraId="0ACA37FC" w14:textId="77777777" w:rsidR="008D749D" w:rsidRDefault="002D31E5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espacios curriculares que quedaran pendientes de aprobación se acreditarán durante las mesas de exámenes del ciclo 2021. </w:t>
      </w:r>
    </w:p>
    <w:p w14:paraId="0AD26570" w14:textId="77777777" w:rsidR="008D749D" w:rsidRDefault="008D749D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sectPr w:rsidR="008D749D">
      <w:headerReference w:type="default" r:id="rId6"/>
      <w:footerReference w:type="first" r:id="rId7"/>
      <w:pgSz w:w="11906" w:h="16838"/>
      <w:pgMar w:top="1893" w:right="862" w:bottom="1206" w:left="1417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5B7F" w14:textId="77777777" w:rsidR="00CF0064" w:rsidRDefault="00CF0064">
      <w:r>
        <w:separator/>
      </w:r>
    </w:p>
  </w:endnote>
  <w:endnote w:type="continuationSeparator" w:id="0">
    <w:p w14:paraId="7570EF87" w14:textId="77777777"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2A7D" w14:textId="77777777" w:rsidR="008D749D" w:rsidRDefault="008D749D">
    <w:pPr>
      <w:jc w:val="center"/>
    </w:pPr>
  </w:p>
  <w:p w14:paraId="6483D9CB" w14:textId="77777777" w:rsidR="008D749D" w:rsidRDefault="008D749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7B1E" w14:textId="77777777" w:rsidR="00CF0064" w:rsidRDefault="00CF0064">
      <w:r>
        <w:separator/>
      </w:r>
    </w:p>
  </w:footnote>
  <w:footnote w:type="continuationSeparator" w:id="0">
    <w:p w14:paraId="69700114" w14:textId="77777777" w:rsidR="00CF0064" w:rsidRDefault="00CF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AB80" w14:textId="77777777" w:rsidR="008D749D" w:rsidRDefault="002D31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noProof/>
        <w:sz w:val="24"/>
        <w:szCs w:val="24"/>
      </w:rPr>
      <w:drawing>
        <wp:inline distT="0" distB="0" distL="0" distR="0" wp14:anchorId="26CD16BF" wp14:editId="24EE647F">
          <wp:extent cx="7357321" cy="77377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7321" cy="773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9D"/>
    <w:rsid w:val="002D31E5"/>
    <w:rsid w:val="006312A5"/>
    <w:rsid w:val="0088245C"/>
    <w:rsid w:val="008D749D"/>
    <w:rsid w:val="00CF0064"/>
    <w:rsid w:val="00E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92BF"/>
  <w15:docId w15:val="{01F07AA2-DF24-4C17-9E19-331E79D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120"/>
      <w:ind w:left="851"/>
      <w:outlineLvl w:val="0"/>
    </w:pPr>
    <w:rPr>
      <w:rFonts w:ascii="Verdana" w:eastAsia="Verdana" w:hAnsi="Verdana" w:cs="Verdana"/>
      <w:i/>
      <w:color w:val="000000"/>
      <w:sz w:val="22"/>
      <w:szCs w:val="22"/>
    </w:rPr>
  </w:style>
  <w:style w:type="paragraph" w:styleId="Ttulo2">
    <w:name w:val="heading 2"/>
    <w:basedOn w:val="Normal"/>
    <w:next w:val="Normal"/>
    <w:pPr>
      <w:keepNext/>
      <w:ind w:left="851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Verdana" w:eastAsia="Verdana" w:hAnsi="Verdana" w:cs="Verdana"/>
      <w:sz w:val="18"/>
      <w:szCs w:val="18"/>
      <w:u w:val="single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Verdana" w:eastAsia="Verdana" w:hAnsi="Verdana" w:cs="Verdana"/>
      <w:smallCaps/>
      <w:sz w:val="28"/>
      <w:szCs w:val="28"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Verdana" w:eastAsia="Verdana" w:hAnsi="Verdana" w:cs="Verdana"/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Verdana" w:eastAsia="Verdana" w:hAnsi="Verdana" w:cs="Verdana"/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56"/>
      <w:szCs w:val="56"/>
    </w:rPr>
  </w:style>
  <w:style w:type="paragraph" w:styleId="Subttulo">
    <w:name w:val="Subtitle"/>
    <w:basedOn w:val="Normal"/>
    <w:next w:val="Normal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María José Gómez</cp:lastModifiedBy>
  <cp:revision>4</cp:revision>
  <dcterms:created xsi:type="dcterms:W3CDTF">2020-10-15T19:35:00Z</dcterms:created>
  <dcterms:modified xsi:type="dcterms:W3CDTF">2020-10-16T13:42:00Z</dcterms:modified>
</cp:coreProperties>
</file>